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29772F" w14:textId="18890AC7" w:rsidR="00DA71C0" w:rsidRDefault="00DA71C0" w:rsidP="00DA71C0">
      <w:pPr>
        <w:pStyle w:val="Title"/>
      </w:pPr>
      <w:r>
        <w:t xml:space="preserve">Student Survey Report </w:t>
      </w:r>
    </w:p>
    <w:p w14:paraId="3338157E" w14:textId="7D34E4BD" w:rsidR="00DA71C0" w:rsidRDefault="00DA71C0" w:rsidP="00DA71C0">
      <w:pPr>
        <w:pStyle w:val="Heading1"/>
      </w:pPr>
      <w:r>
        <w:t>April 2025</w:t>
      </w:r>
    </w:p>
    <w:p w14:paraId="205027D4" w14:textId="20F79C07" w:rsidR="00DA71C0" w:rsidRDefault="00DA71C0" w:rsidP="00DA71C0">
      <w:r w:rsidRPr="00DA71C0">
        <w:t>This year’s student survey was conducted across all year groups to gather valuable insights into learners’ perceptions of their college experience. The survey combined a series of structured, scaled questions alongside two open-ended prompts, allowing students to share both measurable feedback and personal reflections. Responses covered a range of themes including emotional wellbeing, learning environments, subject engagement, and future readiness. The inclusion of both quantitative and qualitative data has provided a well-rounded understanding of student voice, helping to identify areas of strength as well as opportunities for improvement. This report aims to summarise key findings from the survey, with a particular focus on the patterns emerging from the open-ended responses across different year groups.</w:t>
      </w:r>
    </w:p>
    <w:p w14:paraId="2807D259" w14:textId="4C9BAE44" w:rsidR="00906E17" w:rsidRDefault="00D454D5" w:rsidP="00044C36">
      <w:pPr>
        <w:jc w:val="center"/>
      </w:pPr>
      <w:r>
        <w:rPr>
          <w:noProof/>
        </w:rPr>
        <w:drawing>
          <wp:inline distT="0" distB="0" distL="0" distR="0" wp14:anchorId="04507C20" wp14:editId="18BD6A7E">
            <wp:extent cx="5040000" cy="3235703"/>
            <wp:effectExtent l="0" t="0" r="0" b="0"/>
            <wp:docPr id="144948039"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948039" name="Picture 1" descr="A screenshot of a computer&#10;&#10;AI-generated content may be incorrect."/>
                    <pic:cNvPicPr/>
                  </pic:nvPicPr>
                  <pic:blipFill rotWithShape="1">
                    <a:blip r:embed="rId4"/>
                    <a:srcRect l="11699" t="26508" r="32595" b="7466"/>
                    <a:stretch/>
                  </pic:blipFill>
                  <pic:spPr bwMode="auto">
                    <a:xfrm>
                      <a:off x="0" y="0"/>
                      <a:ext cx="5040000" cy="3235703"/>
                    </a:xfrm>
                    <a:prstGeom prst="rect">
                      <a:avLst/>
                    </a:prstGeom>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42A911FB" wp14:editId="021A67BC">
            <wp:extent cx="5040000" cy="3213826"/>
            <wp:effectExtent l="0" t="0" r="0" b="0"/>
            <wp:docPr id="1104559246"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4559246" name="Picture 1" descr="A screenshot of a computer&#10;&#10;AI-generated content may be incorrect."/>
                    <pic:cNvPicPr/>
                  </pic:nvPicPr>
                  <pic:blipFill rotWithShape="1">
                    <a:blip r:embed="rId5"/>
                    <a:srcRect l="11766" t="24300" r="32462" b="10043"/>
                    <a:stretch/>
                  </pic:blipFill>
                  <pic:spPr bwMode="auto">
                    <a:xfrm>
                      <a:off x="0" y="0"/>
                      <a:ext cx="5040000" cy="3213826"/>
                    </a:xfrm>
                    <a:prstGeom prst="rect">
                      <a:avLst/>
                    </a:prstGeom>
                    <a:ln>
                      <a:noFill/>
                    </a:ln>
                    <a:extLst>
                      <a:ext uri="{53640926-AAD7-44D8-BBD7-CCE9431645EC}">
                        <a14:shadowObscured xmlns:a14="http://schemas.microsoft.com/office/drawing/2010/main"/>
                      </a:ext>
                    </a:extLst>
                  </pic:spPr>
                </pic:pic>
              </a:graphicData>
            </a:graphic>
          </wp:inline>
        </w:drawing>
      </w:r>
      <w:r>
        <w:rPr>
          <w:noProof/>
        </w:rPr>
        <w:lastRenderedPageBreak/>
        <w:drawing>
          <wp:inline distT="0" distB="0" distL="0" distR="0" wp14:anchorId="41A48727" wp14:editId="056AFC0F">
            <wp:extent cx="5040000" cy="3197419"/>
            <wp:effectExtent l="0" t="0" r="0" b="0"/>
            <wp:docPr id="152063542"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063542" name="Picture 1" descr="A screenshot of a computer&#10;&#10;AI-generated content may be incorrect."/>
                    <pic:cNvPicPr/>
                  </pic:nvPicPr>
                  <pic:blipFill rotWithShape="1">
                    <a:blip r:embed="rId6"/>
                    <a:srcRect l="11900" t="22213" r="32461" b="12620"/>
                    <a:stretch/>
                  </pic:blipFill>
                  <pic:spPr bwMode="auto">
                    <a:xfrm>
                      <a:off x="0" y="0"/>
                      <a:ext cx="5040000" cy="3197419"/>
                    </a:xfrm>
                    <a:prstGeom prst="rect">
                      <a:avLst/>
                    </a:prstGeom>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577E66DD" wp14:editId="69DAED27">
            <wp:extent cx="5040000" cy="3219330"/>
            <wp:effectExtent l="0" t="0" r="0" b="0"/>
            <wp:docPr id="901898104"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1898104" name="Picture 1" descr="A screenshot of a computer&#10;&#10;AI-generated content may be incorrect."/>
                    <pic:cNvPicPr/>
                  </pic:nvPicPr>
                  <pic:blipFill rotWithShape="1">
                    <a:blip r:embed="rId7"/>
                    <a:srcRect l="12032" t="29454" r="32394" b="5011"/>
                    <a:stretch/>
                  </pic:blipFill>
                  <pic:spPr bwMode="auto">
                    <a:xfrm>
                      <a:off x="0" y="0"/>
                      <a:ext cx="5040000" cy="3219330"/>
                    </a:xfrm>
                    <a:prstGeom prst="rect">
                      <a:avLst/>
                    </a:prstGeom>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000217E1" wp14:editId="4D062503">
            <wp:extent cx="5040000" cy="3195805"/>
            <wp:effectExtent l="0" t="0" r="0" b="0"/>
            <wp:docPr id="1820451371"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0451371" name="Picture 1" descr="A screenshot of a computer&#10;&#10;AI-generated content may be incorrect."/>
                    <pic:cNvPicPr/>
                  </pic:nvPicPr>
                  <pic:blipFill rotWithShape="1">
                    <a:blip r:embed="rId8"/>
                    <a:srcRect l="11766" t="27122" r="32462" b="7589"/>
                    <a:stretch/>
                  </pic:blipFill>
                  <pic:spPr bwMode="auto">
                    <a:xfrm>
                      <a:off x="0" y="0"/>
                      <a:ext cx="5040000" cy="3195805"/>
                    </a:xfrm>
                    <a:prstGeom prst="rect">
                      <a:avLst/>
                    </a:prstGeom>
                    <a:ln>
                      <a:noFill/>
                    </a:ln>
                    <a:extLst>
                      <a:ext uri="{53640926-AAD7-44D8-BBD7-CCE9431645EC}">
                        <a14:shadowObscured xmlns:a14="http://schemas.microsoft.com/office/drawing/2010/main"/>
                      </a:ext>
                    </a:extLst>
                  </pic:spPr>
                </pic:pic>
              </a:graphicData>
            </a:graphic>
          </wp:inline>
        </w:drawing>
      </w:r>
    </w:p>
    <w:p w14:paraId="77CF4387" w14:textId="1DE828C6" w:rsidR="00044C36" w:rsidRDefault="00044C36" w:rsidP="00044C36">
      <w:pPr>
        <w:pStyle w:val="Heading2"/>
      </w:pPr>
      <w:r>
        <w:lastRenderedPageBreak/>
        <w:t>A note on accreditation-related questions</w:t>
      </w:r>
    </w:p>
    <w:p w14:paraId="49A9D68A" w14:textId="5762792B" w:rsidR="00044C36" w:rsidRDefault="00044C36" w:rsidP="00044C36">
      <w:r>
        <w:t>To ensure a more accurate interpretation of the accreditation-related questions, we isolated responses from Year 11 and Year 13 students only. These year groups are the most actively involved in external accreditation processes and therefore best positioned to provide meaningful feedback. Including Year 10 and Year 12 responses in the overall data had previously skewed the results, as these students are typically not yet preparing for exams. By focusing on exam-year cohorts, we gained clearer insight into how well students understand and value their current accreditation pathways.</w:t>
      </w:r>
    </w:p>
    <w:p w14:paraId="1F0B439A" w14:textId="77777777" w:rsidR="00044C36" w:rsidRDefault="00044C36" w:rsidP="00044C36"/>
    <w:p w14:paraId="52E6BCF5" w14:textId="78ACFA4D" w:rsidR="00044C36" w:rsidRDefault="00044C36" w:rsidP="00044C36">
      <w:pPr>
        <w:pStyle w:val="Heading3"/>
      </w:pPr>
      <w:r>
        <w:t>Table: Accreditation Survey Results (Year 11 &amp; Year 13 only)</w:t>
      </w:r>
    </w:p>
    <w:tbl>
      <w:tblPr>
        <w:tblStyle w:val="TableGrid"/>
        <w:tblW w:w="0" w:type="auto"/>
        <w:tblLook w:val="04A0" w:firstRow="1" w:lastRow="0" w:firstColumn="1" w:lastColumn="0" w:noHBand="0" w:noVBand="1"/>
      </w:tblPr>
      <w:tblGrid>
        <w:gridCol w:w="6917"/>
        <w:gridCol w:w="964"/>
        <w:gridCol w:w="964"/>
        <w:gridCol w:w="966"/>
      </w:tblGrid>
      <w:tr w:rsidR="00044C36" w14:paraId="6E405CBD" w14:textId="00E7FFDD" w:rsidTr="00044C36">
        <w:tc>
          <w:tcPr>
            <w:tcW w:w="6917" w:type="dxa"/>
          </w:tcPr>
          <w:p w14:paraId="396DC3A1" w14:textId="2936B821" w:rsidR="00044C36" w:rsidRDefault="00044C36" w:rsidP="00044C36">
            <w:r>
              <w:t>Question</w:t>
            </w:r>
          </w:p>
        </w:tc>
        <w:tc>
          <w:tcPr>
            <w:tcW w:w="964" w:type="dxa"/>
          </w:tcPr>
          <w:p w14:paraId="42F6C45D" w14:textId="49E89AF7" w:rsidR="00044C36" w:rsidRDefault="00044C36" w:rsidP="00044C36">
            <w:r>
              <w:t>Yes (%)</w:t>
            </w:r>
          </w:p>
        </w:tc>
        <w:tc>
          <w:tcPr>
            <w:tcW w:w="964" w:type="dxa"/>
          </w:tcPr>
          <w:p w14:paraId="0FD80B90" w14:textId="3BAD5FCF" w:rsidR="00044C36" w:rsidRDefault="00044C36" w:rsidP="00044C36">
            <w:r>
              <w:t>No (%)</w:t>
            </w:r>
          </w:p>
        </w:tc>
        <w:tc>
          <w:tcPr>
            <w:tcW w:w="966" w:type="dxa"/>
          </w:tcPr>
          <w:p w14:paraId="5F4F6FAA" w14:textId="74BE5FF3" w:rsidR="00044C36" w:rsidRDefault="00044C36" w:rsidP="00044C36">
            <w:r>
              <w:t>Unsure (%)</w:t>
            </w:r>
          </w:p>
        </w:tc>
      </w:tr>
      <w:tr w:rsidR="00044C36" w14:paraId="31E6489F" w14:textId="057BB750" w:rsidTr="00044C36">
        <w:tc>
          <w:tcPr>
            <w:tcW w:w="6917" w:type="dxa"/>
          </w:tcPr>
          <w:p w14:paraId="3632BF2A" w14:textId="19BCEB0E" w:rsidR="00044C36" w:rsidRDefault="00044C36" w:rsidP="00044C36">
            <w:r>
              <w:t>Q11. Do you know what accreditation (exams) you are working towards?</w:t>
            </w:r>
          </w:p>
        </w:tc>
        <w:tc>
          <w:tcPr>
            <w:tcW w:w="964" w:type="dxa"/>
          </w:tcPr>
          <w:p w14:paraId="53DC7584" w14:textId="6774714E" w:rsidR="00044C36" w:rsidRDefault="00044C36" w:rsidP="00044C36">
            <w:r>
              <w:t>72%</w:t>
            </w:r>
          </w:p>
        </w:tc>
        <w:tc>
          <w:tcPr>
            <w:tcW w:w="964" w:type="dxa"/>
          </w:tcPr>
          <w:p w14:paraId="4B9518D4" w14:textId="78B13697" w:rsidR="00044C36" w:rsidRDefault="00044C36" w:rsidP="00044C36">
            <w:r>
              <w:t>28%</w:t>
            </w:r>
          </w:p>
        </w:tc>
        <w:tc>
          <w:tcPr>
            <w:tcW w:w="966" w:type="dxa"/>
          </w:tcPr>
          <w:p w14:paraId="76341BE0" w14:textId="119B86FB" w:rsidR="00044C36" w:rsidRDefault="00044C36" w:rsidP="00044C36">
            <w:r>
              <w:t>N/A</w:t>
            </w:r>
          </w:p>
        </w:tc>
      </w:tr>
      <w:tr w:rsidR="00044C36" w14:paraId="6FD37C61" w14:textId="481E59D5" w:rsidTr="00044C36">
        <w:tc>
          <w:tcPr>
            <w:tcW w:w="6917" w:type="dxa"/>
          </w:tcPr>
          <w:p w14:paraId="6A7CB9CD" w14:textId="6234E712" w:rsidR="00044C36" w:rsidRDefault="00044C36" w:rsidP="00044C36">
            <w:r>
              <w:t>Q12. Do you feel we are offering you the right accreditation (qualification)?</w:t>
            </w:r>
          </w:p>
        </w:tc>
        <w:tc>
          <w:tcPr>
            <w:tcW w:w="964" w:type="dxa"/>
          </w:tcPr>
          <w:p w14:paraId="4DF0D699" w14:textId="35710369" w:rsidR="00044C36" w:rsidRDefault="00044C36" w:rsidP="00044C36">
            <w:r>
              <w:t>60%</w:t>
            </w:r>
          </w:p>
        </w:tc>
        <w:tc>
          <w:tcPr>
            <w:tcW w:w="964" w:type="dxa"/>
          </w:tcPr>
          <w:p w14:paraId="2B657F5A" w14:textId="726C82EF" w:rsidR="00044C36" w:rsidRDefault="00044C36" w:rsidP="00044C36">
            <w:r>
              <w:t>0%</w:t>
            </w:r>
          </w:p>
        </w:tc>
        <w:tc>
          <w:tcPr>
            <w:tcW w:w="966" w:type="dxa"/>
          </w:tcPr>
          <w:p w14:paraId="4F692B27" w14:textId="6A0EB5CE" w:rsidR="00044C36" w:rsidRDefault="00044C36" w:rsidP="00044C36">
            <w:r>
              <w:t>40%</w:t>
            </w:r>
          </w:p>
        </w:tc>
      </w:tr>
    </w:tbl>
    <w:p w14:paraId="5EFBB072" w14:textId="77777777" w:rsidR="00044C36" w:rsidRDefault="00044C36" w:rsidP="00044C36"/>
    <w:p w14:paraId="07E42B6C" w14:textId="21128817" w:rsidR="00044C36" w:rsidRDefault="00044C36" w:rsidP="00044C36">
      <w:r>
        <w:t>These revised figures provide a more reliable basis for evaluating how well we are supporting students through their accredited learning journeys. Notably, while most students feel informed and reassured about their qualifications, a significant minority remain unsure, suggesting that greater transparency or regular reinforcement may be beneficial.</w:t>
      </w:r>
    </w:p>
    <w:p w14:paraId="5451A759" w14:textId="77777777" w:rsidR="004A051C" w:rsidRDefault="004A051C" w:rsidP="00DA71C0"/>
    <w:p w14:paraId="75858088" w14:textId="54D040C5" w:rsidR="00DA71C0" w:rsidRDefault="004A051C" w:rsidP="00DA71C0">
      <w:r w:rsidRPr="004A051C">
        <w:t xml:space="preserve">The final two questions in the survey invited students to reflect in their own words on what they enjoy about college and what they feel could be improved. These responses offered valuable qualitative insights that go beyond scaled agreement questions, providing a richer picture of student experience. By analysing the responses by year group, we were able to identify patterns in what </w:t>
      </w:r>
      <w:proofErr w:type="gramStart"/>
      <w:r w:rsidRPr="004A051C">
        <w:t>students</w:t>
      </w:r>
      <w:proofErr w:type="gramEnd"/>
      <w:r w:rsidRPr="004A051C">
        <w:t xml:space="preserve"> value at different stages of their journey, as well as how their expectations and suggestions for improvement evolve over time.</w:t>
      </w:r>
    </w:p>
    <w:p w14:paraId="0E947449" w14:textId="77777777" w:rsidR="00DA71C0" w:rsidRDefault="00DA71C0" w:rsidP="00DA71C0">
      <w:pPr>
        <w:pStyle w:val="Heading2"/>
      </w:pPr>
      <w:r>
        <w:t>Year 10 Summary</w:t>
      </w:r>
    </w:p>
    <w:p w14:paraId="40550B7C" w14:textId="703DC718" w:rsidR="00DA71C0" w:rsidRDefault="00DA71C0" w:rsidP="00DA71C0">
      <w:r>
        <w:t>Year 10 students frequently mention enjoyment around practical and physical activities, such as football, team games, and art. Some also highlight lessons like Maths or Minecraft Education as engaging. However, their suggestions for improvement are notably light-hearted or unclear, including phrases like “get smarter” or “I don’t know?”, with a few indicating a desire for more football matches or a calmer peer environment. The overall tone is youthful and somewhat casual, reflecting students who are just beginning to engage with structured feedback.</w:t>
      </w:r>
    </w:p>
    <w:p w14:paraId="3C20A928" w14:textId="77777777" w:rsidR="00DA71C0" w:rsidRDefault="00DA71C0" w:rsidP="00DA71C0">
      <w:pPr>
        <w:pStyle w:val="Heading2"/>
      </w:pPr>
      <w:r>
        <w:t>Year 11 Summary</w:t>
      </w:r>
    </w:p>
    <w:p w14:paraId="19F1E08E" w14:textId="4C063D12" w:rsidR="00DA71C0" w:rsidRDefault="00DA71C0" w:rsidP="00DA71C0">
      <w:r>
        <w:t xml:space="preserve">Year 11 students mention a broad variety of positive experiences, often pointing to specific subjects (e.g., Science, Cooking, Music) and social activities like breaktimes or team games. There is a developing sense of self-awareness, with some noting they enjoy learning environments that are “fun” or “exciting”. In terms of improvement, responses become more reflective. Some students suggest more choice in lessons, fewer distractions, or express concerns about noise levels and classroom </w:t>
      </w:r>
      <w:r>
        <w:lastRenderedPageBreak/>
        <w:t>behaviour. The tone suggests growing maturity, with students beginning to think critically about their learning environment</w:t>
      </w:r>
    </w:p>
    <w:p w14:paraId="6A95079A" w14:textId="2344CB55" w:rsidR="00DA71C0" w:rsidRDefault="00DA71C0" w:rsidP="00DA71C0">
      <w:pPr>
        <w:pStyle w:val="Heading2"/>
      </w:pPr>
      <w:r>
        <w:t>Year 12 Summary</w:t>
      </w:r>
    </w:p>
    <w:p w14:paraId="0DD137E8" w14:textId="7251A211" w:rsidR="00DA71C0" w:rsidRDefault="00DA71C0" w:rsidP="00DA71C0">
      <w:r>
        <w:t>By Year 12, students show more nuance in both what they value and what they wish to see improved. They express enjoyment in independence, friendships, and applied learning — e.g., college trips, cooking sessions, or structured work skills lessons. Their suggestions are more focused, mentioning more preparation for future careers, a desire for quieter spaces, or improved organisation and communication. This group generally seems more settled and reflective, highlighting a desire to be treated more like young adults.</w:t>
      </w:r>
    </w:p>
    <w:p w14:paraId="7D60B0F5" w14:textId="77777777" w:rsidR="00DA71C0" w:rsidRDefault="00DA71C0" w:rsidP="00DA71C0">
      <w:pPr>
        <w:pStyle w:val="Heading2"/>
      </w:pPr>
      <w:r>
        <w:t>Year 13 Summary</w:t>
      </w:r>
    </w:p>
    <w:p w14:paraId="227DB186" w14:textId="0171A377" w:rsidR="00DA71C0" w:rsidRDefault="00DA71C0" w:rsidP="00DA71C0">
      <w:r>
        <w:t xml:space="preserve">Year 13 responses are the most mature and </w:t>
      </w:r>
      <w:proofErr w:type="gramStart"/>
      <w:r>
        <w:t>goal-oriented</w:t>
      </w:r>
      <w:proofErr w:type="gramEnd"/>
      <w:r>
        <w:t>. Enjoyment often centres around preparation for adulthood, including college responsibilities, job readiness, and independence. Several students specifically mention positive relationships with staff and structured routines. For improvement, comments become more strategic — some request more accredited learning, better access to quiet working spaces, or greater input into lesson planning. The tone is generally thoughtful, with a clear sense that these students are preparing for life beyond college and have specific ideas about how their final year could be more impactful.</w:t>
      </w:r>
    </w:p>
    <w:sectPr w:rsidR="00DA71C0" w:rsidSect="00D454D5">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54D5"/>
    <w:rsid w:val="00044C36"/>
    <w:rsid w:val="000C11D7"/>
    <w:rsid w:val="002A18AC"/>
    <w:rsid w:val="00421462"/>
    <w:rsid w:val="00466874"/>
    <w:rsid w:val="004A051C"/>
    <w:rsid w:val="00743B01"/>
    <w:rsid w:val="00906E17"/>
    <w:rsid w:val="009D3B81"/>
    <w:rsid w:val="00A31751"/>
    <w:rsid w:val="00CF485D"/>
    <w:rsid w:val="00D310E7"/>
    <w:rsid w:val="00D454D5"/>
    <w:rsid w:val="00DA71C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D705C3"/>
  <w15:chartTrackingRefBased/>
  <w15:docId w15:val="{D0ABFEAE-302D-4DEA-BC45-41EB4B9317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ja-JP"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454D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D454D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D454D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454D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454D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454D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454D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454D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454D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454D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D454D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D454D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454D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454D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454D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454D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454D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454D5"/>
    <w:rPr>
      <w:rFonts w:eastAsiaTheme="majorEastAsia" w:cstheme="majorBidi"/>
      <w:color w:val="272727" w:themeColor="text1" w:themeTint="D8"/>
    </w:rPr>
  </w:style>
  <w:style w:type="paragraph" w:styleId="Title">
    <w:name w:val="Title"/>
    <w:basedOn w:val="Normal"/>
    <w:next w:val="Normal"/>
    <w:link w:val="TitleChar"/>
    <w:uiPriority w:val="10"/>
    <w:qFormat/>
    <w:rsid w:val="00D454D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454D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454D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454D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454D5"/>
    <w:pPr>
      <w:spacing w:before="160"/>
      <w:jc w:val="center"/>
    </w:pPr>
    <w:rPr>
      <w:i/>
      <w:iCs/>
      <w:color w:val="404040" w:themeColor="text1" w:themeTint="BF"/>
    </w:rPr>
  </w:style>
  <w:style w:type="character" w:customStyle="1" w:styleId="QuoteChar">
    <w:name w:val="Quote Char"/>
    <w:basedOn w:val="DefaultParagraphFont"/>
    <w:link w:val="Quote"/>
    <w:uiPriority w:val="29"/>
    <w:rsid w:val="00D454D5"/>
    <w:rPr>
      <w:i/>
      <w:iCs/>
      <w:color w:val="404040" w:themeColor="text1" w:themeTint="BF"/>
    </w:rPr>
  </w:style>
  <w:style w:type="paragraph" w:styleId="ListParagraph">
    <w:name w:val="List Paragraph"/>
    <w:basedOn w:val="Normal"/>
    <w:uiPriority w:val="34"/>
    <w:qFormat/>
    <w:rsid w:val="00D454D5"/>
    <w:pPr>
      <w:ind w:left="720"/>
      <w:contextualSpacing/>
    </w:pPr>
  </w:style>
  <w:style w:type="character" w:styleId="IntenseEmphasis">
    <w:name w:val="Intense Emphasis"/>
    <w:basedOn w:val="DefaultParagraphFont"/>
    <w:uiPriority w:val="21"/>
    <w:qFormat/>
    <w:rsid w:val="00D454D5"/>
    <w:rPr>
      <w:i/>
      <w:iCs/>
      <w:color w:val="0F4761" w:themeColor="accent1" w:themeShade="BF"/>
    </w:rPr>
  </w:style>
  <w:style w:type="paragraph" w:styleId="IntenseQuote">
    <w:name w:val="Intense Quote"/>
    <w:basedOn w:val="Normal"/>
    <w:next w:val="Normal"/>
    <w:link w:val="IntenseQuoteChar"/>
    <w:uiPriority w:val="30"/>
    <w:qFormat/>
    <w:rsid w:val="00D454D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454D5"/>
    <w:rPr>
      <w:i/>
      <w:iCs/>
      <w:color w:val="0F4761" w:themeColor="accent1" w:themeShade="BF"/>
    </w:rPr>
  </w:style>
  <w:style w:type="character" w:styleId="IntenseReference">
    <w:name w:val="Intense Reference"/>
    <w:basedOn w:val="DefaultParagraphFont"/>
    <w:uiPriority w:val="32"/>
    <w:qFormat/>
    <w:rsid w:val="00D454D5"/>
    <w:rPr>
      <w:b/>
      <w:bCs/>
      <w:smallCaps/>
      <w:color w:val="0F4761" w:themeColor="accent1" w:themeShade="BF"/>
      <w:spacing w:val="5"/>
    </w:rPr>
  </w:style>
  <w:style w:type="table" w:styleId="TableGrid">
    <w:name w:val="Table Grid"/>
    <w:basedOn w:val="TableNormal"/>
    <w:uiPriority w:val="39"/>
    <w:rsid w:val="00044C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targetScreenSz w:val="1920x1200"/>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4</Pages>
  <Words>750</Words>
  <Characters>4277</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SEAX Trust</Company>
  <LinksUpToDate>false</LinksUpToDate>
  <CharactersWithSpaces>5017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Kyndt</dc:creator>
  <cp:keywords/>
  <dc:description/>
  <cp:lastModifiedBy>Simon Kyndt</cp:lastModifiedBy>
  <cp:revision>1</cp:revision>
  <dcterms:created xsi:type="dcterms:W3CDTF">2025-05-19T10:41:00Z</dcterms:created>
  <dcterms:modified xsi:type="dcterms:W3CDTF">2025-05-19T11:19:00Z</dcterms:modified>
</cp:coreProperties>
</file>