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7777777"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The SEAX Trust and Local Academy Committees 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safeguarding and promoting the welfare and safety, and the spiritual, moral, social and cultural development, of children and young people;</w:t>
      </w:r>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the diversity of different backgrounds and circumstances is appreciated and positively valued;</w:t>
      </w:r>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77777777"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Academy Committees 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identity</w:t>
      </w:r>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Children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e.g.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7777777"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verification that you are not subject to any s128 directions preventing you from holding a management position within a school</w:t>
      </w:r>
    </w:p>
    <w:p w14:paraId="71C80E41" w14:textId="77777777" w:rsidR="00863830" w:rsidRDefault="00261C72"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a declaration that you are not disqualified from working with children by virtue of the Childcare (Disqualification) Regulations 2018 or that you have provided a disqu</w:t>
      </w:r>
      <w:r w:rsidR="00863830">
        <w:rPr>
          <w:rFonts w:ascii="Ebrima" w:eastAsia="Times New Roman" w:hAnsi="Ebrima" w:cstheme="minorHAnsi"/>
          <w:lang w:eastAsia="en-GB"/>
        </w:rPr>
        <w:t>alification waiver from Ofsted.</w:t>
      </w:r>
    </w:p>
    <w:p w14:paraId="5537DC23" w14:textId="4E9B6D74" w:rsidR="00863830" w:rsidRPr="00863830" w:rsidRDefault="00863830"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Pr>
          <w:rStyle w:val="Emphasis"/>
          <w:rFonts w:ascii="Ebrima" w:hAnsi="Ebrima" w:cs="Helvetica"/>
          <w:i w:val="0"/>
          <w:color w:val="222222"/>
          <w:sz w:val="20"/>
          <w:szCs w:val="20"/>
          <w:shd w:val="clear" w:color="auto" w:fill="FFFFFF"/>
        </w:rPr>
        <w:t>an online search</w:t>
      </w:r>
      <w:r w:rsidRPr="00863830">
        <w:rPr>
          <w:rStyle w:val="Emphasis"/>
          <w:rFonts w:ascii="Ebrima" w:hAnsi="Ebrima" w:cs="Helvetica"/>
          <w:i w:val="0"/>
          <w:color w:val="222222"/>
          <w:sz w:val="20"/>
          <w:szCs w:val="20"/>
          <w:shd w:val="clear" w:color="auto" w:fill="FFFFFF"/>
        </w:rPr>
        <w:t xml:space="preserve"> (including social media) </w:t>
      </w:r>
      <w:r>
        <w:rPr>
          <w:rStyle w:val="Emphasis"/>
          <w:rFonts w:ascii="Ebrima" w:hAnsi="Ebrima" w:cs="Helvetica"/>
          <w:i w:val="0"/>
          <w:color w:val="222222"/>
          <w:sz w:val="20"/>
          <w:szCs w:val="20"/>
          <w:shd w:val="clear" w:color="auto" w:fill="FFFFFF"/>
        </w:rPr>
        <w:t xml:space="preserve">to </w:t>
      </w:r>
      <w:r w:rsidRPr="00863830">
        <w:rPr>
          <w:rStyle w:val="Emphasis"/>
          <w:rFonts w:ascii="Ebrima" w:hAnsi="Ebrima" w:cs="Helvetica"/>
          <w:i w:val="0"/>
          <w:color w:val="222222"/>
          <w:sz w:val="20"/>
          <w:szCs w:val="20"/>
          <w:shd w:val="clear" w:color="auto" w:fill="FFFFFF"/>
        </w:rPr>
        <w:t xml:space="preserve">identify any incidents or issues that have happened, and are publicly available online, which the Trust might want to explore </w:t>
      </w:r>
      <w:r>
        <w:rPr>
          <w:rStyle w:val="Emphasis"/>
          <w:rFonts w:ascii="Ebrima" w:hAnsi="Ebrima" w:cs="Helvetica"/>
          <w:i w:val="0"/>
          <w:color w:val="222222"/>
          <w:sz w:val="20"/>
          <w:szCs w:val="20"/>
          <w:shd w:val="clear" w:color="auto" w:fill="FFFFFF"/>
        </w:rPr>
        <w:t xml:space="preserve">further </w:t>
      </w:r>
      <w:r w:rsidRPr="00863830">
        <w:rPr>
          <w:rStyle w:val="Emphasis"/>
          <w:rFonts w:ascii="Ebrima" w:hAnsi="Ebrima" w:cs="Helvetica"/>
          <w:i w:val="0"/>
          <w:color w:val="222222"/>
          <w:sz w:val="20"/>
          <w:szCs w:val="20"/>
          <w:shd w:val="clear" w:color="auto" w:fill="FFFFFF"/>
        </w:rPr>
        <w:t>with the applicant at interview.</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with children to apply for, or undertake, Regulated Activity.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Academy Committees are committed to </w:t>
      </w:r>
      <w:r w:rsidRPr="00261C72">
        <w:rPr>
          <w:rFonts w:ascii="Ebrima" w:eastAsia="Times New Roman" w:hAnsi="Ebrima" w:cstheme="minorHAnsi"/>
          <w:lang w:eastAsia="en-GB"/>
        </w:rPr>
        <w:t>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Positive disclosures will be managed on a case by case basis taking into account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seriousness/level of the disclosed information eg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convictions/cautions/reprimands which were disclosed in error.</w:t>
      </w: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and Barring Service has published a Code of Practice and accompanying explanatory guide. The SEAX Trust is committed to ensuring that it meets the requirements of the Disclosure and Barring Service in relation to the processing, handling and security of Disclosure information. </w:t>
      </w:r>
    </w:p>
    <w:p w14:paraId="419C7D58" w14:textId="77777777"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p>
    <w:sectPr w:rsidR="00996DBC" w:rsidRPr="00BE0F35" w:rsidSect="00847F00">
      <w:headerReference w:type="default" r:id="rId11"/>
      <w:footerReference w:type="default" r:id="rId12"/>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18FE" w14:textId="77777777" w:rsidR="000A3EEC" w:rsidRDefault="000A3EEC" w:rsidP="00CE3198">
      <w:pPr>
        <w:spacing w:after="0" w:line="240" w:lineRule="auto"/>
      </w:pPr>
      <w:r>
        <w:separator/>
      </w:r>
    </w:p>
  </w:endnote>
  <w:endnote w:type="continuationSeparator" w:id="0">
    <w:p w14:paraId="03049989" w14:textId="77777777" w:rsidR="000A3EEC" w:rsidRDefault="000A3EEC"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19DD253F" w:rsidR="00A94EA5" w:rsidRPr="00F27F1C" w:rsidRDefault="00F27F1C" w:rsidP="00770A9E">
        <w:pPr>
          <w:tabs>
            <w:tab w:val="center" w:pos="4513"/>
            <w:tab w:val="right" w:pos="9026"/>
          </w:tabs>
          <w:spacing w:after="0" w:line="240" w:lineRule="auto"/>
          <w:rPr>
            <w:rFonts w:ascii="Ebrima" w:hAnsi="Ebrima"/>
            <w:sz w:val="18"/>
            <w:szCs w:val="18"/>
          </w:rPr>
        </w:pPr>
        <w:r w:rsidRPr="00F27F1C">
          <w:rPr>
            <w:rFonts w:ascii="Ebrima" w:hAnsi="Ebrima"/>
            <w:noProof/>
            <w:sz w:val="18"/>
            <w:szCs w:val="18"/>
            <w:lang w:eastAsia="en-GB"/>
          </w:rPr>
          <w:drawing>
            <wp:anchor distT="0" distB="0" distL="114300" distR="114300" simplePos="0" relativeHeight="251681792" behindDoc="0" locked="0" layoutInCell="1" allowOverlap="1" wp14:anchorId="2E6EB32D" wp14:editId="3C2149F3">
              <wp:simplePos x="0" y="0"/>
              <wp:positionH relativeFrom="column">
                <wp:posOffset>1287177</wp:posOffset>
              </wp:positionH>
              <wp:positionV relativeFrom="paragraph">
                <wp:posOffset>-26670</wp:posOffset>
              </wp:positionV>
              <wp:extent cx="712763" cy="534572"/>
              <wp:effectExtent l="0" t="0" r="0" b="0"/>
              <wp:wrapThrough wrapText="bothSides">
                <wp:wrapPolygon edited="0">
                  <wp:start x="0" y="0"/>
                  <wp:lineTo x="0" y="20804"/>
                  <wp:lineTo x="20791" y="20804"/>
                  <wp:lineTo x="20791" y="0"/>
                  <wp:lineTo x="0" y="0"/>
                </wp:wrapPolygon>
              </wp:wrapThrough>
              <wp:docPr id="11" name="Picture 10">
                <a:extLst xmlns:a="http://schemas.openxmlformats.org/drawingml/2006/main">
                  <a:ext uri="{FF2B5EF4-FFF2-40B4-BE49-F238E27FC236}">
                    <a16:creationId xmlns:a16="http://schemas.microsoft.com/office/drawing/2014/main" id="{685F93B8-DC3E-45BE-A6C0-70FE1AADE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763" cy="534572"/>
                      </a:xfrm>
                      <a:prstGeom prst="rect">
                        <a:avLst/>
                      </a:prstGeom>
                    </pic:spPr>
                  </pic:pic>
                </a:graphicData>
              </a:graphic>
              <wp14:sizeRelH relativeFrom="page">
                <wp14:pctWidth>0</wp14:pctWidth>
              </wp14:sizeRelH>
              <wp14:sizeRelV relativeFrom="page">
                <wp14:pctHeight>0</wp14:pctHeight>
              </wp14:sizeRelV>
            </wp:anchor>
          </w:drawing>
        </w:r>
        <w:r w:rsidRPr="00F27F1C">
          <w:rPr>
            <w:rFonts w:ascii="Ebrima" w:hAnsi="Ebrima"/>
            <w:noProof/>
            <w:sz w:val="18"/>
            <w:szCs w:val="18"/>
            <w:lang w:eastAsia="en-GB"/>
          </w:rPr>
          <w:drawing>
            <wp:anchor distT="0" distB="0" distL="114300" distR="114300" simplePos="0" relativeHeight="251676672" behindDoc="0" locked="0" layoutInCell="1" allowOverlap="1" wp14:anchorId="025B09C1" wp14:editId="017E1FAC">
              <wp:simplePos x="0" y="0"/>
              <wp:positionH relativeFrom="column">
                <wp:posOffset>2972178</wp:posOffset>
              </wp:positionH>
              <wp:positionV relativeFrom="paragraph">
                <wp:posOffset>27305</wp:posOffset>
              </wp:positionV>
              <wp:extent cx="578436" cy="477520"/>
              <wp:effectExtent l="0" t="0" r="0" b="0"/>
              <wp:wrapNone/>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36"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8720" behindDoc="0" locked="0" layoutInCell="1" allowOverlap="1" wp14:anchorId="12A4F01D" wp14:editId="0A8C83A0">
              <wp:simplePos x="0" y="0"/>
              <wp:positionH relativeFrom="column">
                <wp:posOffset>4310067</wp:posOffset>
              </wp:positionH>
              <wp:positionV relativeFrom="paragraph">
                <wp:posOffset>-43180</wp:posOffset>
              </wp:positionV>
              <wp:extent cx="685800" cy="552450"/>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0" y="0"/>
                        <a:ext cx="685800" cy="5524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80768" behindDoc="0" locked="0" layoutInCell="1" allowOverlap="1" wp14:anchorId="005F2B48" wp14:editId="5E61AB10">
              <wp:simplePos x="0" y="0"/>
              <wp:positionH relativeFrom="column">
                <wp:posOffset>5535074</wp:posOffset>
              </wp:positionH>
              <wp:positionV relativeFrom="paragraph">
                <wp:posOffset>20982</wp:posOffset>
              </wp:positionV>
              <wp:extent cx="817948" cy="477520"/>
              <wp:effectExtent l="0" t="0" r="127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948"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2576" behindDoc="1" locked="0" layoutInCell="1" allowOverlap="1" wp14:anchorId="600E0BD7" wp14:editId="1579A842">
              <wp:simplePos x="0" y="0"/>
              <wp:positionH relativeFrom="column">
                <wp:posOffset>-220980</wp:posOffset>
              </wp:positionH>
              <wp:positionV relativeFrom="paragraph">
                <wp:posOffset>-114300</wp:posOffset>
              </wp:positionV>
              <wp:extent cx="745588" cy="824101"/>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588" cy="82410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510404C" w14:textId="071D4C34"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08C43363"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0826FBB5"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863830">
          <w:rPr>
            <w:rFonts w:ascii="Ebrima" w:hAnsi="Ebrima"/>
            <w:bCs/>
            <w:i/>
            <w:sz w:val="18"/>
            <w:szCs w:val="18"/>
          </w:rPr>
          <w:t>KS/Aug22</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2E9A" w14:textId="77777777" w:rsidR="000A3EEC" w:rsidRDefault="000A3EEC" w:rsidP="00CE3198">
      <w:pPr>
        <w:spacing w:after="0" w:line="240" w:lineRule="auto"/>
      </w:pPr>
      <w:r>
        <w:separator/>
      </w:r>
    </w:p>
  </w:footnote>
  <w:footnote w:type="continuationSeparator" w:id="0">
    <w:p w14:paraId="4350E32E" w14:textId="77777777" w:rsidR="000A3EEC" w:rsidRDefault="000A3EEC"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113763">
    <w:abstractNumId w:val="8"/>
  </w:num>
  <w:num w:numId="2" w16cid:durableId="85199874">
    <w:abstractNumId w:val="35"/>
  </w:num>
  <w:num w:numId="3" w16cid:durableId="1749617942">
    <w:abstractNumId w:val="12"/>
  </w:num>
  <w:num w:numId="4" w16cid:durableId="1152673442">
    <w:abstractNumId w:val="0"/>
  </w:num>
  <w:num w:numId="5" w16cid:durableId="510606222">
    <w:abstractNumId w:val="26"/>
  </w:num>
  <w:num w:numId="6" w16cid:durableId="778372351">
    <w:abstractNumId w:val="31"/>
  </w:num>
  <w:num w:numId="7" w16cid:durableId="834493272">
    <w:abstractNumId w:val="37"/>
  </w:num>
  <w:num w:numId="8" w16cid:durableId="804280754">
    <w:abstractNumId w:val="18"/>
  </w:num>
  <w:num w:numId="9" w16cid:durableId="2064017821">
    <w:abstractNumId w:val="41"/>
  </w:num>
  <w:num w:numId="10" w16cid:durableId="1534346551">
    <w:abstractNumId w:val="17"/>
  </w:num>
  <w:num w:numId="11" w16cid:durableId="513424874">
    <w:abstractNumId w:val="3"/>
  </w:num>
  <w:num w:numId="12" w16cid:durableId="635379401">
    <w:abstractNumId w:val="36"/>
  </w:num>
  <w:num w:numId="13" w16cid:durableId="1982691935">
    <w:abstractNumId w:val="38"/>
  </w:num>
  <w:num w:numId="14" w16cid:durableId="2136557432">
    <w:abstractNumId w:val="16"/>
  </w:num>
  <w:num w:numId="15" w16cid:durableId="1027365175">
    <w:abstractNumId w:val="20"/>
  </w:num>
  <w:num w:numId="16" w16cid:durableId="2065331543">
    <w:abstractNumId w:val="6"/>
  </w:num>
  <w:num w:numId="17" w16cid:durableId="1394547403">
    <w:abstractNumId w:val="42"/>
  </w:num>
  <w:num w:numId="18" w16cid:durableId="1322005553">
    <w:abstractNumId w:val="13"/>
  </w:num>
  <w:num w:numId="19" w16cid:durableId="734624387">
    <w:abstractNumId w:val="5"/>
    <w:lvlOverride w:ilvl="0"/>
    <w:lvlOverride w:ilvl="1">
      <w:startOverride w:val="1"/>
    </w:lvlOverride>
    <w:lvlOverride w:ilvl="2"/>
    <w:lvlOverride w:ilvl="3"/>
    <w:lvlOverride w:ilvl="4"/>
    <w:lvlOverride w:ilvl="5"/>
    <w:lvlOverride w:ilvl="6"/>
    <w:lvlOverride w:ilvl="7"/>
    <w:lvlOverride w:ilvl="8"/>
  </w:num>
  <w:num w:numId="20" w16cid:durableId="665473855">
    <w:abstractNumId w:val="5"/>
  </w:num>
  <w:num w:numId="21" w16cid:durableId="1432044487">
    <w:abstractNumId w:val="27"/>
  </w:num>
  <w:num w:numId="22" w16cid:durableId="1225331777">
    <w:abstractNumId w:val="28"/>
  </w:num>
  <w:num w:numId="23" w16cid:durableId="1678844666">
    <w:abstractNumId w:val="34"/>
  </w:num>
  <w:num w:numId="24" w16cid:durableId="2044283848">
    <w:abstractNumId w:val="19"/>
  </w:num>
  <w:num w:numId="25" w16cid:durableId="1242594443">
    <w:abstractNumId w:val="15"/>
  </w:num>
  <w:num w:numId="26" w16cid:durableId="172113208">
    <w:abstractNumId w:val="39"/>
  </w:num>
  <w:num w:numId="27" w16cid:durableId="1080719036">
    <w:abstractNumId w:val="4"/>
  </w:num>
  <w:num w:numId="28" w16cid:durableId="1808467761">
    <w:abstractNumId w:val="11"/>
  </w:num>
  <w:num w:numId="29" w16cid:durableId="718825324">
    <w:abstractNumId w:val="1"/>
  </w:num>
  <w:num w:numId="30" w16cid:durableId="1966496933">
    <w:abstractNumId w:val="32"/>
  </w:num>
  <w:num w:numId="31" w16cid:durableId="694965867">
    <w:abstractNumId w:val="43"/>
  </w:num>
  <w:num w:numId="32" w16cid:durableId="1625110484">
    <w:abstractNumId w:val="30"/>
  </w:num>
  <w:num w:numId="33" w16cid:durableId="278611253">
    <w:abstractNumId w:val="10"/>
  </w:num>
  <w:num w:numId="34" w16cid:durableId="1922256056">
    <w:abstractNumId w:val="9"/>
  </w:num>
  <w:num w:numId="35" w16cid:durableId="117721085">
    <w:abstractNumId w:val="33"/>
  </w:num>
  <w:num w:numId="36" w16cid:durableId="1949464844">
    <w:abstractNumId w:val="22"/>
  </w:num>
  <w:num w:numId="37" w16cid:durableId="689062745">
    <w:abstractNumId w:val="40"/>
  </w:num>
  <w:num w:numId="38" w16cid:durableId="31463830">
    <w:abstractNumId w:val="24"/>
  </w:num>
  <w:num w:numId="39" w16cid:durableId="447966149">
    <w:abstractNumId w:val="25"/>
  </w:num>
  <w:num w:numId="40" w16cid:durableId="1602637728">
    <w:abstractNumId w:val="2"/>
  </w:num>
  <w:num w:numId="41" w16cid:durableId="851383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87224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4557530">
    <w:abstractNumId w:val="23"/>
  </w:num>
  <w:num w:numId="44" w16cid:durableId="2131894370">
    <w:abstractNumId w:val="7"/>
  </w:num>
  <w:num w:numId="45" w16cid:durableId="12262020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A3EEC"/>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839"/>
    <w:rsid w:val="00740FAA"/>
    <w:rsid w:val="007462E9"/>
    <w:rsid w:val="00770A9E"/>
    <w:rsid w:val="007A15E9"/>
    <w:rsid w:val="007C2868"/>
    <w:rsid w:val="007C74A3"/>
    <w:rsid w:val="007D16FD"/>
    <w:rsid w:val="007D635C"/>
    <w:rsid w:val="007E6668"/>
    <w:rsid w:val="008072B7"/>
    <w:rsid w:val="0081049A"/>
    <w:rsid w:val="00847F00"/>
    <w:rsid w:val="008626E2"/>
    <w:rsid w:val="00863830"/>
    <w:rsid w:val="0088428C"/>
    <w:rsid w:val="0089722D"/>
    <w:rsid w:val="008973AE"/>
    <w:rsid w:val="008A06BF"/>
    <w:rsid w:val="008B61BE"/>
    <w:rsid w:val="008B7F40"/>
    <w:rsid w:val="008F5281"/>
    <w:rsid w:val="0091647A"/>
    <w:rsid w:val="0096683B"/>
    <w:rsid w:val="00975C5A"/>
    <w:rsid w:val="00996DBC"/>
    <w:rsid w:val="009D6907"/>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paragraph" w:styleId="NoSpacing">
    <w:name w:val="No Spacing"/>
    <w:uiPriority w:val="1"/>
    <w:qFormat/>
    <w:rsid w:val="00863830"/>
    <w:pPr>
      <w:spacing w:after="0" w:line="240" w:lineRule="auto"/>
    </w:pPr>
    <w:rPr>
      <w:rFonts w:ascii="Calibri" w:eastAsia="Calibri" w:hAnsi="Calibri" w:cs="Times New Roman"/>
    </w:rPr>
  </w:style>
  <w:style w:type="character" w:styleId="Emphasis">
    <w:name w:val="Emphasis"/>
    <w:uiPriority w:val="20"/>
    <w:qFormat/>
    <w:rsid w:val="0086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6" ma:contentTypeDescription="Create a new document." ma:contentTypeScope="" ma:versionID="a0774c843a2d79187bee517c4ee97340">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2bc30a25c7555193ff8bd55c843e7cf3"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8631E-8D28-44B7-9DDC-3EEB18775EC3}">
  <ds:schemaRefs>
    <ds:schemaRef ds:uri="http://schemas.openxmlformats.org/officeDocument/2006/bibliography"/>
  </ds:schemaRefs>
</ds:datastoreItem>
</file>

<file path=customXml/itemProps2.xml><?xml version="1.0" encoding="utf-8"?>
<ds:datastoreItem xmlns:ds="http://schemas.openxmlformats.org/officeDocument/2006/customXml" ds:itemID="{F90A75F8-0337-46DE-A02F-BF1E53FD1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4EA8A-0351-466A-88CF-FC3D2E0432B5}">
  <ds:schemaRefs>
    <ds:schemaRef ds:uri="http://schemas.microsoft.com/sharepoint/v3/contenttype/forms"/>
  </ds:schemaRefs>
</ds:datastoreItem>
</file>

<file path=customXml/itemProps4.xml><?xml version="1.0" encoding="utf-8"?>
<ds:datastoreItem xmlns:ds="http://schemas.openxmlformats.org/officeDocument/2006/customXml" ds:itemID="{106BEFE1-0678-4BCC-80D3-E949AB192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2</cp:revision>
  <cp:lastPrinted>2022-09-23T13:53:00Z</cp:lastPrinted>
  <dcterms:created xsi:type="dcterms:W3CDTF">2022-11-04T15:20:00Z</dcterms:created>
  <dcterms:modified xsi:type="dcterms:W3CDTF">2022-11-04T15:20:00Z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